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14" w:rsidRDefault="00426CB1" w:rsidP="004B6914">
      <w:pPr>
        <w:tabs>
          <w:tab w:val="left" w:pos="720"/>
          <w:tab w:val="left" w:pos="981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.85pt;margin-top:9.75pt;width:394.5pt;height:24pt;z-index:251658240" stroked="f">
            <v:textbox>
              <w:txbxContent>
                <w:p w:rsidR="00FF6F6F" w:rsidRPr="00175F5A" w:rsidRDefault="00FF6F6F" w:rsidP="00FF6F6F">
                  <w:pPr>
                    <w:tabs>
                      <w:tab w:val="left" w:pos="45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VOIR AU VERSO L'AVIS IMPORTANT SUR LES FRAUDES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1066" type="#_x0000_t75" style="position:absolute;left:0;text-align:left;margin-left:419.65pt;margin-top:-12.6pt;width:156.3pt;height:52.65pt;z-index:251659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<v:imagedata r:id="rId7" o:title="MB Bison logo"/>
            <v:path arrowok="t"/>
          </v:shape>
        </w:pict>
      </w:r>
    </w:p>
    <w:p w:rsidR="00FF6F6F" w:rsidRPr="001C1595" w:rsidRDefault="00426CB1" w:rsidP="00FF6F6F">
      <w:pPr>
        <w:tabs>
          <w:tab w:val="left" w:pos="720"/>
          <w:tab w:val="left" w:pos="9810"/>
        </w:tabs>
        <w:rPr>
          <w:rFonts w:cs="Arial"/>
          <w:sz w:val="20"/>
        </w:rPr>
      </w:pPr>
      <w:r>
        <w:rPr>
          <w:rFonts w:cs="Arial"/>
          <w:noProof/>
          <w:sz w:val="20"/>
          <w:lang w:val="en-CA" w:eastAsia="en-CA"/>
        </w:rPr>
        <w:pict>
          <v:shape id="Text Box 2" o:spid="_x0000_s1067" type="#_x0000_t202" style="position:absolute;margin-left:419.65pt;margin-top:8.4pt;width:160.45pt;height:21.0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<v:textbox style="mso-next-textbox:#Text Box 2">
              <w:txbxContent>
                <w:p w:rsidR="000F3ECC" w:rsidRPr="00A213DB" w:rsidRDefault="000F3ECC" w:rsidP="000F3ECC">
                  <w:pPr>
                    <w:rPr>
                      <w:rFonts w:cs="Arial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lang w:val="en-US"/>
                    </w:rPr>
                    <w:t>Registre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des </w:t>
                  </w:r>
                  <w:proofErr w:type="spellStart"/>
                  <w:r>
                    <w:rPr>
                      <w:rFonts w:cs="Arial"/>
                      <w:lang w:val="en-US"/>
                    </w:rPr>
                    <w:t>titres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en-US"/>
                    </w:rPr>
                    <w:t>fonciers</w:t>
                  </w:r>
                  <w:proofErr w:type="spellEnd"/>
                </w:p>
              </w:txbxContent>
            </v:textbox>
          </v:shape>
        </w:pict>
      </w:r>
      <w:r w:rsidR="00FF6F6F" w:rsidRPr="001C1595">
        <w:rPr>
          <w:rFonts w:cs="Arial"/>
          <w:sz w:val="20"/>
        </w:rPr>
        <w:tab/>
      </w:r>
      <w:r w:rsidR="00FF6F6F" w:rsidRPr="001C1595">
        <w:rPr>
          <w:rFonts w:cs="Arial"/>
          <w:sz w:val="20"/>
        </w:rPr>
        <w:tab/>
      </w:r>
      <w:r w:rsidR="00FF6F6F" w:rsidRPr="001C1595">
        <w:rPr>
          <w:rFonts w:cs="Arial"/>
          <w:sz w:val="20"/>
        </w:rPr>
        <w:tab/>
      </w:r>
      <w:r w:rsidR="00FF6F6F" w:rsidRPr="001C1595">
        <w:rPr>
          <w:rFonts w:cs="Arial"/>
          <w:sz w:val="20"/>
        </w:rPr>
        <w:tab/>
      </w:r>
    </w:p>
    <w:p w:rsidR="00FF6F6F" w:rsidRPr="001C1595" w:rsidRDefault="00FF6F6F" w:rsidP="00FF6F6F">
      <w:pPr>
        <w:tabs>
          <w:tab w:val="left" w:pos="720"/>
          <w:tab w:val="left" w:pos="9810"/>
        </w:tabs>
        <w:rPr>
          <w:rFonts w:cs="Arial"/>
          <w:sz w:val="20"/>
        </w:rPr>
      </w:pPr>
      <w:r w:rsidRPr="001C1595">
        <w:rPr>
          <w:rFonts w:cs="Arial"/>
          <w:sz w:val="20"/>
        </w:rPr>
        <w:tab/>
      </w:r>
      <w:r w:rsidRPr="001C1595">
        <w:rPr>
          <w:rFonts w:cs="Arial"/>
          <w:sz w:val="20"/>
        </w:rPr>
        <w:tab/>
      </w:r>
    </w:p>
    <w:p w:rsidR="00FF6F6F" w:rsidRPr="001C1595" w:rsidRDefault="00FF6F6F" w:rsidP="00FF6F6F">
      <w:pPr>
        <w:tabs>
          <w:tab w:val="left" w:pos="1692"/>
          <w:tab w:val="left" w:pos="8712"/>
        </w:tabs>
        <w:spacing w:before="40" w:after="40"/>
        <w:rPr>
          <w:rFonts w:cs="Arial"/>
          <w:b/>
          <w:sz w:val="20"/>
        </w:rPr>
      </w:pPr>
      <w:bookmarkStart w:id="0" w:name="_GoBack"/>
      <w:r w:rsidRPr="001C1595">
        <w:rPr>
          <w:rFonts w:cs="Arial"/>
          <w:b/>
          <w:sz w:val="20"/>
        </w:rPr>
        <w:t>AVIS DE VENTE</w:t>
      </w:r>
      <w:bookmarkEnd w:id="0"/>
      <w:r w:rsidRPr="001C1595">
        <w:rPr>
          <w:rFonts w:cs="Arial"/>
          <w:b/>
          <w:sz w:val="20"/>
        </w:rPr>
        <w:t xml:space="preserve"> Formule 4</w:t>
      </w:r>
      <w:r w:rsidR="00EA70D2">
        <w:rPr>
          <w:rFonts w:cs="Arial"/>
          <w:b/>
          <w:sz w:val="20"/>
        </w:rPr>
        <w:t>,1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2340"/>
      </w:tblGrid>
      <w:tr w:rsidR="00FF6F6F" w:rsidRPr="001C1595">
        <w:trPr>
          <w:trHeight w:hRule="exact" w:val="667"/>
        </w:trPr>
        <w:tc>
          <w:tcPr>
            <w:tcW w:w="11430" w:type="dxa"/>
            <w:gridSpan w:val="2"/>
            <w:tcBorders>
              <w:bottom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spacing w:before="12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1.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DESTINATAIRE :</w:t>
            </w:r>
            <w:r w:rsidRPr="001C1595">
              <w:rPr>
                <w:rFonts w:cs="Arial"/>
                <w:sz w:val="20"/>
              </w:rPr>
              <w:t xml:space="preserve">   </w:t>
            </w:r>
          </w:p>
        </w:tc>
      </w:tr>
      <w:tr w:rsidR="00FF6F6F" w:rsidRPr="001C1595">
        <w:trPr>
          <w:trHeight w:hRule="exact" w:val="234"/>
        </w:trPr>
        <w:tc>
          <w:tcPr>
            <w:tcW w:w="11430" w:type="dxa"/>
            <w:gridSpan w:val="2"/>
            <w:tcBorders>
              <w:top w:val="nil"/>
              <w:bottom w:val="single" w:sz="4" w:space="0" w:color="auto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ET À QUI DE DROIT</w:t>
            </w:r>
            <w:r w:rsidRPr="001C1595">
              <w:rPr>
                <w:rFonts w:cs="Arial"/>
                <w:sz w:val="20"/>
              </w:rPr>
              <w:t xml:space="preserve">  </w:t>
            </w:r>
          </w:p>
        </w:tc>
      </w:tr>
      <w:tr w:rsidR="00FF6F6F" w:rsidRPr="001C1595" w:rsidTr="005F230B">
        <w:trPr>
          <w:trHeight w:hRule="exact" w:val="1116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5610"/>
                <w:tab w:val="left" w:pos="6822"/>
                <w:tab w:val="left" w:pos="11142"/>
              </w:tabs>
              <w:spacing w:before="12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2.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NUMÉRO(S) DE TITRE(S)</w:t>
            </w:r>
            <w:r w:rsidRPr="001C1595">
              <w:rPr>
                <w:rFonts w:cs="Arial"/>
                <w:sz w:val="20"/>
              </w:rPr>
              <w:t xml:space="preserve">  </w:t>
            </w:r>
            <w:r w:rsidRPr="001C1595">
              <w:rPr>
                <w:rFonts w:cs="Arial"/>
                <w:sz w:val="20"/>
                <w:u w:val="single"/>
              </w:rPr>
              <w:t xml:space="preserve">  </w:t>
            </w:r>
            <w:r w:rsidRPr="001C1595">
              <w:rPr>
                <w:rFonts w:cs="Arial"/>
                <w:sz w:val="20"/>
                <w:u w:val="single"/>
              </w:rPr>
              <w:tab/>
            </w:r>
            <w:r w:rsidRPr="001C1595">
              <w:rPr>
                <w:rFonts w:cs="Arial"/>
                <w:sz w:val="20"/>
              </w:rPr>
              <w:t xml:space="preserve"> </w:t>
            </w:r>
            <w:r w:rsidRPr="001C1595">
              <w:rPr>
                <w:rFonts w:cs="Arial"/>
                <w:b/>
                <w:sz w:val="20"/>
              </w:rPr>
              <w:t>NUMÉRO D'HYPOTHÈQUE</w:t>
            </w:r>
            <w:r w:rsidRPr="001C1595">
              <w:rPr>
                <w:rFonts w:cs="Arial"/>
                <w:sz w:val="20"/>
              </w:rPr>
              <w:t xml:space="preserve"> </w:t>
            </w:r>
            <w:r w:rsidRPr="001C1595">
              <w:rPr>
                <w:rFonts w:cs="Arial"/>
                <w:sz w:val="20"/>
                <w:u w:val="single"/>
              </w:rPr>
              <w:t xml:space="preserve">  </w:t>
            </w:r>
            <w:r w:rsidRPr="001C1595">
              <w:rPr>
                <w:rFonts w:cs="Arial"/>
                <w:sz w:val="20"/>
                <w:u w:val="single"/>
              </w:rPr>
              <w:tab/>
            </w:r>
            <w:r w:rsidRPr="001C1595">
              <w:rPr>
                <w:rFonts w:cs="Arial"/>
                <w:sz w:val="20"/>
              </w:rPr>
              <w:t xml:space="preserve">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6822"/>
                <w:tab w:val="left" w:pos="11142"/>
              </w:tabs>
              <w:spacing w:before="6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ADRESSE RÉELLE / EMPLACEMENT</w:t>
            </w:r>
            <w:r w:rsidRPr="001C1595">
              <w:rPr>
                <w:rFonts w:cs="Arial"/>
                <w:sz w:val="20"/>
              </w:rPr>
              <w:t>________________________________________________________</w:t>
            </w:r>
          </w:p>
        </w:tc>
      </w:tr>
      <w:tr w:rsidR="00FF6F6F" w:rsidRPr="001C1595" w:rsidTr="00FF6F6F">
        <w:trPr>
          <w:trHeight w:hRule="exact" w:val="1135"/>
        </w:trPr>
        <w:tc>
          <w:tcPr>
            <w:tcW w:w="11430" w:type="dxa"/>
            <w:gridSpan w:val="2"/>
            <w:tcBorders>
              <w:top w:val="single" w:sz="4" w:space="0" w:color="auto"/>
              <w:bottom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spacing w:before="6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3.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DESCRIPTION DU BIEN-FONDS</w:t>
            </w:r>
            <w:r w:rsidRPr="001C1595">
              <w:rPr>
                <w:rFonts w:cs="Arial"/>
                <w:sz w:val="20"/>
              </w:rPr>
              <w:t xml:space="preserve"> </w:t>
            </w:r>
          </w:p>
          <w:p w:rsidR="00FF6F6F" w:rsidRPr="001C1595" w:rsidRDefault="00426CB1" w:rsidP="00FF6F6F">
            <w:pPr>
              <w:tabs>
                <w:tab w:val="left" w:pos="360"/>
                <w:tab w:val="left" w:pos="88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s1027" type="#_x0000_t202" style="position:absolute;margin-left:547.2pt;margin-top:40.15pt;width:14.4pt;height:14.4pt;z-index:251655168">
                  <v:textbox style="mso-next-textbox:#_x0000_s1027" inset="0,0,0,0">
                    <w:txbxContent>
                      <w:p w:rsidR="00FF6F6F" w:rsidRDefault="00FF6F6F" w:rsidP="00FF6F6F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F6F6F" w:rsidRPr="001C1595">
              <w:rPr>
                <w:rFonts w:cs="Arial"/>
                <w:sz w:val="20"/>
              </w:rPr>
              <w:tab/>
            </w:r>
          </w:p>
        </w:tc>
      </w:tr>
      <w:tr w:rsidR="00FF6F6F" w:rsidRPr="001C1595" w:rsidTr="00FF6F6F">
        <w:trPr>
          <w:trHeight w:hRule="exact" w:val="342"/>
        </w:trPr>
        <w:tc>
          <w:tcPr>
            <w:tcW w:w="9090" w:type="dxa"/>
            <w:tcBorders>
              <w:top w:val="nil"/>
              <w:right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rPr>
                <w:rFonts w:cs="Arial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F6F" w:rsidRPr="001C1595" w:rsidRDefault="00FF6F6F" w:rsidP="00FF6F6F">
            <w:pPr>
              <w:tabs>
                <w:tab w:val="left" w:pos="140"/>
                <w:tab w:val="left" w:pos="8820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voir l'annexe</w:t>
            </w:r>
          </w:p>
        </w:tc>
      </w:tr>
      <w:tr w:rsidR="00FF6F6F" w:rsidRPr="001C1595" w:rsidTr="004B6914">
        <w:trPr>
          <w:trHeight w:hRule="exact" w:val="5575"/>
        </w:trPr>
        <w:tc>
          <w:tcPr>
            <w:tcW w:w="11430" w:type="dxa"/>
            <w:gridSpan w:val="2"/>
            <w:tcBorders>
              <w:bottom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7722"/>
                <w:tab w:val="left" w:pos="8820"/>
              </w:tabs>
              <w:spacing w:before="120" w:line="360" w:lineRule="auto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 xml:space="preserve"> 4.</w:t>
            </w:r>
            <w:r w:rsidRPr="001C1595">
              <w:rPr>
                <w:rFonts w:cs="Arial"/>
                <w:sz w:val="20"/>
              </w:rPr>
              <w:tab/>
            </w:r>
            <w:r w:rsidR="005F230B" w:rsidRPr="001C1595">
              <w:rPr>
                <w:rFonts w:cs="Arial"/>
                <w:sz w:val="20"/>
              </w:rPr>
              <w:t>_______________________________________________________</w:t>
            </w:r>
            <w:r w:rsidRPr="001C1595">
              <w:rPr>
                <w:rFonts w:cs="Arial"/>
                <w:sz w:val="20"/>
              </w:rPr>
              <w:t xml:space="preserve"> (le créancier hypothécaire) donne avis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7722"/>
                <w:tab w:val="left" w:pos="8820"/>
              </w:tabs>
              <w:spacing w:line="360" w:lineRule="auto"/>
              <w:rPr>
                <w:rFonts w:cs="Arial"/>
                <w:sz w:val="20"/>
              </w:rPr>
            </w:pPr>
            <w:r w:rsidRPr="001C1595">
              <w:rPr>
                <w:rFonts w:cs="Arial"/>
                <w:b/>
                <w:caps/>
                <w:sz w:val="20"/>
              </w:rPr>
              <w:t>qu</w:t>
            </w:r>
            <w:r w:rsidRPr="001C1595">
              <w:rPr>
                <w:rFonts w:cs="Arial"/>
                <w:b/>
                <w:caps/>
                <w:sz w:val="20"/>
                <w:cs/>
              </w:rPr>
              <w:t>’</w:t>
            </w:r>
            <w:r w:rsidRPr="001C1595">
              <w:rPr>
                <w:rFonts w:cs="Arial"/>
                <w:b/>
                <w:caps/>
                <w:sz w:val="20"/>
              </w:rPr>
              <w:t>il engage par les présentes la procédure de vente hypothécaire et de forclusion</w:t>
            </w:r>
            <w:r w:rsidRPr="001C1595">
              <w:rPr>
                <w:rFonts w:cs="Arial"/>
                <w:sz w:val="20"/>
              </w:rPr>
              <w:t xml:space="preserve"> en vertu de la Loi sur les biens réels.</w:t>
            </w:r>
          </w:p>
          <w:p w:rsidR="005F230B" w:rsidRPr="001C1595" w:rsidRDefault="00FF6F6F" w:rsidP="005F230B">
            <w:pPr>
              <w:numPr>
                <w:ilvl w:val="0"/>
                <w:numId w:val="4"/>
              </w:num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ind w:left="357" w:hanging="357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Le défaut de paiement de l'hypothèque dure depuis au moins un mois.</w:t>
            </w:r>
          </w:p>
          <w:p w:rsidR="00FF6F6F" w:rsidRPr="001C1595" w:rsidRDefault="00FF6F6F" w:rsidP="005F230B">
            <w:pPr>
              <w:numPr>
                <w:ilvl w:val="0"/>
                <w:numId w:val="4"/>
              </w:num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ind w:left="357" w:hanging="357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 xml:space="preserve">La </w:t>
            </w:r>
            <w:r w:rsidRPr="001C1595">
              <w:rPr>
                <w:rFonts w:cs="Arial"/>
                <w:b/>
                <w:sz w:val="20"/>
              </w:rPr>
              <w:t>DATE DE DÉFAUT</w:t>
            </w:r>
            <w:r w:rsidRPr="001C1595">
              <w:rPr>
                <w:rFonts w:cs="Arial"/>
                <w:sz w:val="20"/>
              </w:rPr>
              <w:t xml:space="preserve"> de paiement en vertu du contrat hypothécaire est la suivante </w:t>
            </w:r>
            <w:r w:rsidR="005F230B" w:rsidRPr="001C1595">
              <w:rPr>
                <w:rFonts w:cs="Arial"/>
                <w:sz w:val="20"/>
              </w:rPr>
              <w:t>: _______________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(c)</w:t>
            </w:r>
            <w:r w:rsidRPr="001C1595">
              <w:rPr>
                <w:rFonts w:cs="Arial"/>
                <w:sz w:val="20"/>
              </w:rPr>
              <w:tab/>
              <w:t>Les précisions relatives au défaut sont les suivantes :</w:t>
            </w:r>
            <w:r w:rsidRPr="001C1595">
              <w:rPr>
                <w:rFonts w:cs="Arial"/>
                <w:i/>
                <w:sz w:val="20"/>
              </w:rPr>
              <w:t xml:space="preserve"> supprimer les énoncés qui ne s'appliquent pas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 xml:space="preserve">(i) Un défaut de paiement du </w:t>
            </w:r>
            <w:r w:rsidRPr="001C1595">
              <w:rPr>
                <w:rFonts w:cs="Arial"/>
                <w:b/>
                <w:sz w:val="20"/>
              </w:rPr>
              <w:t>capital, des intérêts et des taxes, ou du capital et des intérêts</w:t>
            </w:r>
            <w:r w:rsidRPr="001C1595">
              <w:rPr>
                <w:rFonts w:cs="Arial"/>
                <w:sz w:val="20"/>
              </w:rPr>
              <w:t xml:space="preserve"> (supprimer les énoncés qui ne s'appliquent pas), en vertu du contrat hypothécaire s'est produit le ____ ______ 20____.  Des paiements totalisant __________ $ au _____ _______ 20__________ n'ont pas été payés.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(ii)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Des taxes foncières</w:t>
            </w:r>
            <w:r w:rsidRPr="001C1595">
              <w:rPr>
                <w:rFonts w:cs="Arial"/>
                <w:sz w:val="20"/>
              </w:rPr>
              <w:t xml:space="preserve">, plus des intérêts courus et des pénalités totalisant </w:t>
            </w:r>
            <w:r w:rsidR="005F230B" w:rsidRPr="001C1595">
              <w:rPr>
                <w:rFonts w:cs="Arial"/>
                <w:sz w:val="20"/>
              </w:rPr>
              <w:t>________</w:t>
            </w:r>
            <w:r w:rsidRPr="001C1595">
              <w:rPr>
                <w:rFonts w:cs="Arial"/>
                <w:sz w:val="20"/>
              </w:rPr>
              <w:t> $ n'ont pas été payés.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Le premier défaut de paiement des taxes foncières s</w:t>
            </w:r>
            <w:r w:rsidRPr="001C1595">
              <w:rPr>
                <w:rFonts w:cs="Arial"/>
                <w:sz w:val="20"/>
                <w:cs/>
              </w:rPr>
              <w:t>’</w:t>
            </w:r>
            <w:r w:rsidRPr="001C1595">
              <w:rPr>
                <w:rFonts w:cs="Arial"/>
                <w:sz w:val="20"/>
              </w:rPr>
              <w:t>est produit le ______ _________________ 20____.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(iii)</w:t>
            </w:r>
            <w:r w:rsidRPr="001C1595">
              <w:rPr>
                <w:rFonts w:cs="Arial"/>
                <w:sz w:val="20"/>
              </w:rPr>
              <w:tab/>
              <w:t xml:space="preserve">Des preuves du paiement des </w:t>
            </w:r>
            <w:r w:rsidRPr="001C1595">
              <w:rPr>
                <w:rFonts w:cs="Arial"/>
                <w:b/>
                <w:sz w:val="20"/>
              </w:rPr>
              <w:t>primes d'assurance</w:t>
            </w:r>
            <w:r w:rsidRPr="001C1595">
              <w:rPr>
                <w:rFonts w:cs="Arial"/>
                <w:sz w:val="20"/>
              </w:rPr>
              <w:t xml:space="preserve"> du bien n'ont pas été fournies au créancier hypothécaire. Ces éléments de preuve étaient exigibles par le créancier hypothécaire le ____ _______ 20_____.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(iv)</w:t>
            </w:r>
            <w:r w:rsidRPr="001C1595">
              <w:rPr>
                <w:rFonts w:cs="Arial"/>
                <w:sz w:val="20"/>
              </w:rPr>
              <w:tab/>
              <w:t xml:space="preserve">Cette </w:t>
            </w:r>
            <w:r w:rsidRPr="001C1595">
              <w:rPr>
                <w:rFonts w:cs="Arial"/>
                <w:b/>
                <w:sz w:val="20"/>
              </w:rPr>
              <w:t>hypothèque est arrivée à échéance</w:t>
            </w:r>
            <w:r w:rsidRPr="001C1595">
              <w:rPr>
                <w:rFonts w:cs="Arial"/>
                <w:sz w:val="20"/>
              </w:rPr>
              <w:t xml:space="preserve"> et n'a pas été renouvelée. L'intégralité du solde impayé de </w:t>
            </w:r>
            <w:r w:rsidR="005F230B" w:rsidRPr="001C1595">
              <w:rPr>
                <w:rFonts w:cs="Arial"/>
                <w:sz w:val="20"/>
              </w:rPr>
              <w:t>____</w:t>
            </w:r>
            <w:r w:rsidRPr="001C1595">
              <w:rPr>
                <w:rFonts w:cs="Arial"/>
                <w:sz w:val="20"/>
              </w:rPr>
              <w:t> $ était exigible le ____ _________ 20_____ et n'a pas encore été payée.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 xml:space="preserve">(v) Il s'agit d'une </w:t>
            </w:r>
            <w:r w:rsidRPr="001C1595">
              <w:rPr>
                <w:rFonts w:cs="Arial"/>
                <w:b/>
                <w:sz w:val="20"/>
              </w:rPr>
              <w:t>hypothèque à vue</w:t>
            </w:r>
            <w:r w:rsidRPr="001C1595">
              <w:rPr>
                <w:rFonts w:cs="Arial"/>
                <w:sz w:val="20"/>
              </w:rPr>
              <w:t>.</w:t>
            </w:r>
            <w:r w:rsidR="002272FD" w:rsidRPr="001C1595">
              <w:rPr>
                <w:rFonts w:cs="Arial"/>
                <w:sz w:val="20"/>
              </w:rPr>
              <w:t xml:space="preserve"> </w:t>
            </w:r>
            <w:r w:rsidRPr="001C1595">
              <w:rPr>
                <w:rFonts w:cs="Arial"/>
                <w:sz w:val="20"/>
              </w:rPr>
              <w:t>Une demande de paiement de _________ $ a été faite le _____ ___________ 20____ et le paiement n'a pas encore été effectué.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 xml:space="preserve"> </w:t>
            </w:r>
            <w:r w:rsidRPr="001C1595">
              <w:rPr>
                <w:rFonts w:cs="Arial"/>
                <w:sz w:val="20"/>
                <w:u w:val="single"/>
              </w:rPr>
              <w:t xml:space="preserve">                        </w:t>
            </w:r>
            <w:r w:rsidRPr="001C1595">
              <w:rPr>
                <w:rFonts w:cs="Arial"/>
                <w:sz w:val="20"/>
              </w:rPr>
              <w:t xml:space="preserve">                  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772"/>
                <w:tab w:val="left" w:pos="8532"/>
                <w:tab w:val="left" w:pos="10962"/>
              </w:tabs>
              <w:spacing w:after="6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(vi)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FF6F6F" w:rsidRPr="001C1595" w:rsidTr="00FF6F6F">
        <w:trPr>
          <w:trHeight w:hRule="exact" w:val="342"/>
        </w:trPr>
        <w:tc>
          <w:tcPr>
            <w:tcW w:w="9090" w:type="dxa"/>
            <w:tcBorders>
              <w:top w:val="nil"/>
              <w:bottom w:val="nil"/>
              <w:right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F6F" w:rsidRPr="001C1595" w:rsidRDefault="00426CB1" w:rsidP="00FF6F6F">
            <w:pPr>
              <w:tabs>
                <w:tab w:val="left" w:pos="140"/>
                <w:tab w:val="left" w:pos="88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s1031" type="#_x0000_t202" style="position:absolute;margin-left:71.1pt;margin-top:1.5pt;width:14.4pt;height:14.4pt;z-index:251656192;mso-position-horizontal-relative:text;mso-position-vertical-relative:text">
                  <v:textbox style="mso-next-textbox:#_x0000_s1031" inset="0,0,0,0">
                    <w:txbxContent>
                      <w:p w:rsidR="00FF6F6F" w:rsidRDefault="00FF6F6F" w:rsidP="00FF6F6F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F6F6F" w:rsidRPr="001C1595">
              <w:rPr>
                <w:rFonts w:cs="Arial"/>
                <w:sz w:val="20"/>
              </w:rPr>
              <w:t>voir l'annexe</w:t>
            </w:r>
          </w:p>
        </w:tc>
      </w:tr>
      <w:tr w:rsidR="00FF6F6F" w:rsidRPr="001C1595" w:rsidTr="005F230B">
        <w:trPr>
          <w:trHeight w:hRule="exact" w:val="1069"/>
        </w:trPr>
        <w:tc>
          <w:tcPr>
            <w:tcW w:w="11430" w:type="dxa"/>
            <w:gridSpan w:val="2"/>
            <w:tcBorders>
              <w:top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(d)</w:t>
            </w:r>
            <w:r w:rsidRPr="001C1595">
              <w:rPr>
                <w:rFonts w:cs="Arial"/>
                <w:sz w:val="20"/>
              </w:rPr>
              <w:tab/>
              <w:t>Le créancier hypothécaire a engagé et engage actuellement des frais en raison de ce défaut que vous pourriez être tenu d'acquitter.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</w:p>
        </w:tc>
      </w:tr>
      <w:tr w:rsidR="00FF6F6F" w:rsidRPr="001C1595" w:rsidTr="001C1595">
        <w:trPr>
          <w:trHeight w:hRule="exact" w:val="6247"/>
        </w:trPr>
        <w:tc>
          <w:tcPr>
            <w:tcW w:w="1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100"/>
              <w:jc w:val="both"/>
              <w:rPr>
                <w:rFonts w:cs="Arial"/>
                <w:b/>
                <w:sz w:val="20"/>
              </w:rPr>
            </w:pPr>
            <w:r w:rsidRPr="001C1595">
              <w:rPr>
                <w:rFonts w:cs="Arial"/>
                <w:sz w:val="20"/>
              </w:rPr>
              <w:t>5.</w:t>
            </w:r>
            <w:r w:rsidRPr="001C1595">
              <w:rPr>
                <w:rFonts w:cs="Arial"/>
                <w:b/>
                <w:sz w:val="20"/>
              </w:rPr>
              <w:tab/>
            </w:r>
            <w:r w:rsidRPr="001C1595">
              <w:rPr>
                <w:rFonts w:cs="Arial"/>
                <w:b/>
                <w:caps/>
                <w:sz w:val="20"/>
              </w:rPr>
              <w:t>VOUS POUVEZ METTRE FIN À LA PRÉSENTE PROCÉDURE EN TOUT TEMPS AVANT LA VENTE DES BIENS OU LA DÉLIVRANCE D</w:t>
            </w:r>
            <w:r w:rsidRPr="001C1595">
              <w:rPr>
                <w:rFonts w:cs="Arial"/>
                <w:b/>
                <w:caps/>
                <w:sz w:val="20"/>
                <w:cs/>
              </w:rPr>
              <w:t>’</w:t>
            </w:r>
            <w:r w:rsidRPr="001C1595">
              <w:rPr>
                <w:rFonts w:cs="Arial"/>
                <w:b/>
                <w:caps/>
                <w:sz w:val="20"/>
              </w:rPr>
              <w:t>UN TITRE AU CRÉANCIER HYPOTHÉCAIRE, SOIT EN METTANT À JOUR VOTRE COMPTE DE PRÊT HYPOTHÉCAIRE, SOIT EN PAYANT L</w:t>
            </w:r>
            <w:r w:rsidRPr="001C1595">
              <w:rPr>
                <w:rFonts w:cs="Arial"/>
                <w:b/>
                <w:caps/>
                <w:sz w:val="20"/>
                <w:cs/>
              </w:rPr>
              <w:t>’</w:t>
            </w:r>
            <w:r w:rsidRPr="001C1595">
              <w:rPr>
                <w:rFonts w:cs="Arial"/>
                <w:b/>
                <w:caps/>
                <w:sz w:val="20"/>
              </w:rPr>
              <w:t xml:space="preserve">INTÉGRALITÉ DE VOTRE DETTE HYPOTHÉCAIRE.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(a)</w:t>
            </w:r>
            <w:r w:rsidRPr="001C1595">
              <w:rPr>
                <w:rFonts w:cs="Arial"/>
                <w:sz w:val="20"/>
              </w:rPr>
              <w:tab/>
              <w:t xml:space="preserve">COMMENT METTRE À JOUR VOTRE COMPTE DE PRÊT HYPOTHÉCAIRE : </w:t>
            </w:r>
            <w:r w:rsidRPr="001C1595">
              <w:rPr>
                <w:rFonts w:cs="Arial"/>
                <w:i/>
                <w:sz w:val="20"/>
              </w:rPr>
              <w:t>supprimer les énoncés qui ne s'appliquent pas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(i)</w:t>
            </w:r>
            <w:r w:rsidRPr="001C1595">
              <w:rPr>
                <w:rFonts w:cs="Arial"/>
                <w:sz w:val="20"/>
              </w:rPr>
              <w:tab/>
              <w:t>Corriger le défaut énoncé à l</w:t>
            </w:r>
            <w:r w:rsidRPr="001C1595">
              <w:rPr>
                <w:rFonts w:cs="Arial"/>
                <w:sz w:val="20"/>
                <w:cs/>
              </w:rPr>
              <w:t>’</w:t>
            </w:r>
            <w:r w:rsidRPr="001C1595">
              <w:rPr>
                <w:rFonts w:cs="Arial"/>
                <w:sz w:val="20"/>
              </w:rPr>
              <w:t>alinéa 4. c) ci-dessus.</w:t>
            </w:r>
          </w:p>
          <w:p w:rsidR="00FF6F6F" w:rsidRPr="001C1595" w:rsidRDefault="00FF6F6F" w:rsidP="005F230B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40"/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(ii)</w:t>
            </w:r>
            <w:r w:rsidRPr="001C1595">
              <w:rPr>
                <w:rFonts w:cs="Arial"/>
                <w:sz w:val="20"/>
              </w:rPr>
              <w:tab/>
              <w:t>Si le défaut de paiement indiqué ci-dessus inclut des taxes foncières impayées, vous devez payer à l'autorité taxatrice toutes les taxes foncières impayées ainsi que les intérêts courus et les pénalités exigibles, au moment où vous corrigez le défaut.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40"/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(iii) Effectuer tous les paiements du capital, des intérêts et des taxes, ou du capital et des intérêts (</w:t>
            </w:r>
            <w:r w:rsidRPr="001C1595">
              <w:rPr>
                <w:rFonts w:cs="Arial"/>
                <w:i/>
                <w:sz w:val="20"/>
              </w:rPr>
              <w:t>supprimer les énoncés qui ne s'appliquent pas</w:t>
            </w:r>
            <w:r w:rsidRPr="001C1595">
              <w:rPr>
                <w:rFonts w:cs="Arial"/>
                <w:sz w:val="20"/>
              </w:rPr>
              <w:t>), qui auraient pu devenir exigibles après le _____ ________ 20_____.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Vos paiements mensuels/hebdomadaires/bimensuels du capital, des intérêts et des taxes, ou du capital et des intérêts (</w:t>
            </w:r>
            <w:r w:rsidRPr="001C1595">
              <w:rPr>
                <w:rFonts w:cs="Arial"/>
                <w:i/>
                <w:sz w:val="20"/>
              </w:rPr>
              <w:t>supprimer les énoncés qui ne s'appliquent pas</w:t>
            </w:r>
            <w:r w:rsidRPr="001C1595">
              <w:rPr>
                <w:rFonts w:cs="Arial"/>
                <w:sz w:val="20"/>
              </w:rPr>
              <w:t xml:space="preserve">), s'élèvent à ________ $ et sont payables au créancier hypothécaire, en vertu du contrat hypothécaire et de tout changement qui </w:t>
            </w:r>
            <w:r w:rsidR="002272FD" w:rsidRPr="001C1595">
              <w:rPr>
                <w:rFonts w:cs="Arial"/>
                <w:sz w:val="20"/>
              </w:rPr>
              <w:t xml:space="preserve">y </w:t>
            </w:r>
            <w:r w:rsidRPr="001C1595">
              <w:rPr>
                <w:rFonts w:cs="Arial"/>
                <w:sz w:val="20"/>
              </w:rPr>
              <w:t>a été apporté, le cas échéant.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(iv)</w:t>
            </w:r>
            <w:r w:rsidRPr="001C1595">
              <w:rPr>
                <w:rFonts w:cs="Arial"/>
                <w:sz w:val="20"/>
              </w:rPr>
              <w:tab/>
              <w:t>Payer les frais engagés par le créancier hypothécaire pour la présente procédure.</w:t>
            </w:r>
          </w:p>
          <w:p w:rsidR="00FF6F6F" w:rsidRPr="001C1595" w:rsidRDefault="00426CB1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s1051" type="#_x0000_t202" style="position:absolute;margin-left:540pt;margin-top:11.85pt;width:14.4pt;height:14.4pt;z-index:251657216">
                  <v:textbox style="mso-next-textbox:#_x0000_s1051" inset="0,0,0,0">
                    <w:txbxContent>
                      <w:p w:rsidR="00FF6F6F" w:rsidRDefault="00FF6F6F" w:rsidP="00FF6F6F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11891" w:type="dxa"/>
              <w:tblBorders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5"/>
              <w:gridCol w:w="2896"/>
            </w:tblGrid>
            <w:tr w:rsidR="00FF6F6F" w:rsidRPr="001C1595" w:rsidTr="00FF6F6F">
              <w:trPr>
                <w:trHeight w:hRule="exact" w:val="450"/>
              </w:trPr>
              <w:tc>
                <w:tcPr>
                  <w:tcW w:w="8995" w:type="dxa"/>
                </w:tcPr>
                <w:p w:rsidR="00FF6F6F" w:rsidRPr="001C1595" w:rsidRDefault="00FF6F6F" w:rsidP="00FF6F6F">
                  <w:pPr>
                    <w:tabs>
                      <w:tab w:val="left" w:pos="360"/>
                      <w:tab w:val="left" w:pos="882"/>
                      <w:tab w:val="left" w:pos="1602"/>
                      <w:tab w:val="left" w:pos="8820"/>
                    </w:tabs>
                    <w:spacing w:line="360" w:lineRule="auto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896" w:type="dxa"/>
                </w:tcPr>
                <w:p w:rsidR="00FF6F6F" w:rsidRPr="001C1595" w:rsidRDefault="00FF6F6F" w:rsidP="00FF6F6F">
                  <w:pPr>
                    <w:tabs>
                      <w:tab w:val="left" w:pos="140"/>
                      <w:tab w:val="left" w:pos="8820"/>
                    </w:tabs>
                    <w:rPr>
                      <w:rFonts w:cs="Arial"/>
                      <w:sz w:val="20"/>
                    </w:rPr>
                  </w:pPr>
                  <w:r w:rsidRPr="001C1595">
                    <w:rPr>
                      <w:rFonts w:cs="Arial"/>
                      <w:sz w:val="20"/>
                    </w:rPr>
                    <w:tab/>
                    <w:t>voir l'annexe</w:t>
                  </w:r>
                </w:p>
              </w:tc>
            </w:tr>
          </w:tbl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(b)</w:t>
            </w:r>
            <w:r w:rsidRPr="001C1595">
              <w:rPr>
                <w:rFonts w:cs="Arial"/>
                <w:sz w:val="20"/>
              </w:rPr>
              <w:tab/>
              <w:t>COMMENT PAYER L'INTÉGRALITÉ DE LA DETTE HYPOTHÉCAIRE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spacing w:before="10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Si vous décidez de payer l'intégralité de la dette hypothécaire, vous devez payer la somme de __________________ $, plus des intérêts au taux de ________ $ par an à compter du ______ ______ 20____ (ce qui représente actuellement _____________ $ par jour), ainsi que les frais engagés par le créancier hypothécaire pour la présente procédure.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rFonts w:cs="Arial"/>
                <w:sz w:val="20"/>
              </w:rPr>
            </w:pPr>
          </w:p>
        </w:tc>
      </w:tr>
      <w:tr w:rsidR="00FF6F6F" w:rsidRPr="001C1595" w:rsidTr="001C1595">
        <w:trPr>
          <w:trHeight w:hRule="exact" w:val="3126"/>
        </w:trPr>
        <w:tc>
          <w:tcPr>
            <w:tcW w:w="11430" w:type="dxa"/>
            <w:gridSpan w:val="2"/>
          </w:tcPr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spacing w:before="10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lastRenderedPageBreak/>
              <w:t>6.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OMMISSION DE METTRE FIN À LA PRÉSENTE PROCÉDURE </w:t>
            </w:r>
            <w:r w:rsidR="005F230B" w:rsidRPr="001C1595">
              <w:rPr>
                <w:rFonts w:cs="Arial"/>
                <w:b/>
                <w:sz w:val="20"/>
              </w:rPr>
              <w:t>:</w:t>
            </w:r>
            <w:r w:rsidR="005F230B" w:rsidRPr="001C1595">
              <w:rPr>
                <w:rFonts w:cs="Arial"/>
                <w:sz w:val="20"/>
              </w:rPr>
              <w:t xml:space="preserve"> si</w:t>
            </w:r>
            <w:r w:rsidRPr="001C1595">
              <w:rPr>
                <w:rFonts w:cs="Arial"/>
                <w:sz w:val="20"/>
              </w:rPr>
              <w:t xml:space="preserve"> vous omettez de (i) corriger le défaut ou de (ii) payer l'intégralité de la dette hypothécaire, comme il est prévu à l'article 5 ci-dessus, le créancier hypothécaire sera en droit d'utiliser tous les recours prévus en vertu de la Loi sur les biens réels, notamment :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(a)</w:t>
            </w:r>
            <w:r w:rsidRPr="001C1595">
              <w:rPr>
                <w:rFonts w:cs="Arial"/>
                <w:sz w:val="20"/>
              </w:rPr>
              <w:tab/>
              <w:t>LA VENTE </w:t>
            </w:r>
            <w:r w:rsidR="005F230B" w:rsidRPr="001C1595">
              <w:rPr>
                <w:rFonts w:cs="Arial"/>
                <w:sz w:val="20"/>
              </w:rPr>
              <w:t>: le</w:t>
            </w:r>
            <w:r w:rsidRPr="001C1595">
              <w:rPr>
                <w:rFonts w:cs="Arial"/>
                <w:sz w:val="20"/>
              </w:rPr>
              <w:t xml:space="preserve"> bien-fonds peut être vendu par vente aux enchères publique ou de gré à gré (ou des deux façons). Les parties liées en vertu de l'hypothèque sont redevables de l'intégralité de la dette en vertu de celle-ci, ainsi que du paiement de tout déficit subi par le créancier hypothécaire après la vente du bien-fonds;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</w:p>
          <w:p w:rsidR="00FF6F6F" w:rsidRPr="001C1595" w:rsidRDefault="00FF6F6F" w:rsidP="00FF6F6F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</w:p>
          <w:p w:rsidR="00FF6F6F" w:rsidRPr="001C1595" w:rsidRDefault="00FF6F6F" w:rsidP="001C1595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(b)</w:t>
            </w:r>
            <w:r w:rsidRPr="001C1595">
              <w:rPr>
                <w:rFonts w:cs="Arial"/>
                <w:sz w:val="20"/>
              </w:rPr>
              <w:tab/>
              <w:t>LA FORCLUSION </w:t>
            </w:r>
            <w:r w:rsidR="005F230B" w:rsidRPr="001C1595">
              <w:rPr>
                <w:rFonts w:cs="Arial"/>
                <w:sz w:val="20"/>
              </w:rPr>
              <w:t>: si</w:t>
            </w:r>
            <w:r w:rsidRPr="001C1595">
              <w:rPr>
                <w:rFonts w:cs="Arial"/>
                <w:sz w:val="20"/>
              </w:rPr>
              <w:t xml:space="preserve"> le bien-fonds n'est pas vendu par vente aux enchères publiques ou de gré à gré et que le débiteur hypothécaire est toujours en défaut six mois après la date de défaut mentionnée ci-dessus, le créancier hypothécaire peut faire une demande visant à devenir propriétaire du bien-fonds (forclusion).</w:t>
            </w:r>
          </w:p>
        </w:tc>
      </w:tr>
      <w:tr w:rsidR="00FF6F6F" w:rsidRPr="001C1595" w:rsidTr="001C1595">
        <w:trPr>
          <w:trHeight w:hRule="exact" w:val="1135"/>
        </w:trPr>
        <w:tc>
          <w:tcPr>
            <w:tcW w:w="11430" w:type="dxa"/>
            <w:gridSpan w:val="2"/>
          </w:tcPr>
          <w:p w:rsidR="00FF6F6F" w:rsidRPr="001C1595" w:rsidRDefault="00FF6F6F" w:rsidP="00FF6F6F">
            <w:pPr>
              <w:tabs>
                <w:tab w:val="left" w:pos="342"/>
                <w:tab w:val="left" w:pos="5040"/>
              </w:tabs>
              <w:spacing w:before="60"/>
              <w:rPr>
                <w:rFonts w:cs="Arial"/>
                <w:b/>
                <w:sz w:val="20"/>
              </w:rPr>
            </w:pPr>
            <w:r w:rsidRPr="001C1595">
              <w:rPr>
                <w:rFonts w:cs="Arial"/>
                <w:sz w:val="20"/>
              </w:rPr>
              <w:t>7.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LES PAIEMENTS OU LES DEMANDES DE RENSEIGNEMENTS PEUVENT ÊTRE ADRESSÉS À :</w:t>
            </w:r>
          </w:p>
          <w:p w:rsidR="00FF6F6F" w:rsidRPr="001C1595" w:rsidRDefault="00FF6F6F" w:rsidP="00FF6F6F">
            <w:pPr>
              <w:pStyle w:val="Heading6"/>
              <w:tabs>
                <w:tab w:val="clear" w:pos="360"/>
                <w:tab w:val="clear" w:pos="720"/>
                <w:tab w:val="clear" w:pos="1440"/>
                <w:tab w:val="left" w:pos="342"/>
              </w:tabs>
              <w:spacing w:before="0"/>
              <w:rPr>
                <w:rFonts w:cs="Arial"/>
                <w:b w:val="0"/>
                <w:sz w:val="20"/>
              </w:rPr>
            </w:pPr>
            <w:r w:rsidRPr="001C1595">
              <w:rPr>
                <w:rFonts w:cs="Arial"/>
                <w:sz w:val="20"/>
              </w:rPr>
              <w:tab/>
              <w:t>VOIR LA CASE 9 CI-DESSOUS OU</w:t>
            </w:r>
            <w:r w:rsidRPr="001C1595">
              <w:rPr>
                <w:rFonts w:cs="Arial"/>
                <w:b w:val="0"/>
                <w:sz w:val="20"/>
              </w:rPr>
              <w:t xml:space="preserve">  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rFonts w:cs="Arial"/>
                <w:b/>
                <w:sz w:val="20"/>
              </w:rPr>
            </w:pPr>
          </w:p>
        </w:tc>
      </w:tr>
      <w:tr w:rsidR="00FF6F6F" w:rsidRPr="001C1595" w:rsidTr="00FF6F6F">
        <w:tc>
          <w:tcPr>
            <w:tcW w:w="11430" w:type="dxa"/>
            <w:gridSpan w:val="2"/>
            <w:tcBorders>
              <w:bottom w:val="nil"/>
            </w:tcBorders>
          </w:tcPr>
          <w:p w:rsidR="00FF6F6F" w:rsidRPr="001C1595" w:rsidRDefault="00FF6F6F" w:rsidP="00FF6F6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spacing w:before="60"/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>8.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SIGNATURE DU OU DES CRÉANCIERS HYPOTHÉCAIRES OU DU MANDATAIRE</w:t>
            </w:r>
            <w:r w:rsidRPr="001C1595">
              <w:rPr>
                <w:rFonts w:cs="Arial"/>
                <w:sz w:val="20"/>
              </w:rPr>
              <w:t xml:space="preserve">   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spacing w:before="60"/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</w:p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rPr>
                <w:rFonts w:cs="Arial"/>
                <w:sz w:val="20"/>
              </w:rPr>
            </w:pPr>
          </w:p>
          <w:p w:rsidR="00FF6F6F" w:rsidRPr="001C1595" w:rsidRDefault="00FF6F6F" w:rsidP="00FF6F6F">
            <w:pPr>
              <w:tabs>
                <w:tab w:val="left" w:pos="360"/>
                <w:tab w:val="left" w:pos="8820"/>
              </w:tabs>
              <w:rPr>
                <w:rFonts w:cs="Arial"/>
                <w:b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  <w:cs/>
              </w:rPr>
              <w:t>…………………………………………………………</w:t>
            </w:r>
            <w:r w:rsidRPr="001C1595">
              <w:rPr>
                <w:rFonts w:cs="Arial"/>
                <w:b/>
                <w:sz w:val="20"/>
              </w:rPr>
              <w:t>.</w:t>
            </w:r>
            <w:r w:rsidRPr="001C1595">
              <w:rPr>
                <w:rFonts w:cs="Arial"/>
                <w:b/>
                <w:sz w:val="20"/>
                <w:cs/>
              </w:rPr>
              <w:t>……………</w:t>
            </w:r>
            <w:r w:rsidRPr="001C1595">
              <w:rPr>
                <w:rFonts w:cs="Arial"/>
                <w:b/>
                <w:sz w:val="20"/>
              </w:rPr>
              <w:t>.</w:t>
            </w:r>
            <w:r w:rsidRPr="001C1595">
              <w:rPr>
                <w:rFonts w:cs="Arial"/>
                <w:b/>
                <w:sz w:val="20"/>
                <w:cs/>
              </w:rPr>
              <w:t>…………………</w:t>
            </w:r>
            <w:r w:rsidRPr="001C1595">
              <w:rPr>
                <w:rFonts w:cs="Arial"/>
                <w:b/>
                <w:sz w:val="20"/>
              </w:rPr>
              <w:t>...</w:t>
            </w:r>
            <w:r w:rsidRPr="001C1595">
              <w:rPr>
                <w:rFonts w:cs="Arial"/>
                <w:b/>
                <w:sz w:val="20"/>
                <w:cs/>
              </w:rPr>
              <w:t>………</w:t>
            </w:r>
            <w:r w:rsidRPr="001C1595">
              <w:rPr>
                <w:rFonts w:cs="Arial"/>
                <w:b/>
                <w:sz w:val="20"/>
              </w:rPr>
              <w:t>.</w:t>
            </w:r>
            <w:r w:rsidRPr="001C1595">
              <w:rPr>
                <w:rFonts w:cs="Arial"/>
                <w:b/>
                <w:sz w:val="20"/>
                <w:cs/>
              </w:rPr>
              <w:t>……</w:t>
            </w:r>
            <w:r w:rsidRPr="001C1595">
              <w:rPr>
                <w:rFonts w:cs="Arial"/>
                <w:b/>
                <w:sz w:val="20"/>
              </w:rPr>
              <w:t>.</w:t>
            </w:r>
            <w:r w:rsidRPr="001C1595">
              <w:rPr>
                <w:rFonts w:cs="Arial"/>
                <w:b/>
                <w:sz w:val="20"/>
                <w:cs/>
              </w:rPr>
              <w:t>………</w:t>
            </w:r>
            <w:r w:rsidRPr="001C1595">
              <w:rPr>
                <w:rFonts w:cs="Arial"/>
                <w:b/>
                <w:sz w:val="20"/>
              </w:rPr>
              <w:t>/</w:t>
            </w:r>
            <w:r w:rsidRPr="001C1595">
              <w:rPr>
                <w:rFonts w:cs="Arial"/>
                <w:b/>
                <w:sz w:val="20"/>
                <w:cs/>
              </w:rPr>
              <w:t>…</w:t>
            </w:r>
            <w:r w:rsidRPr="001C1595">
              <w:rPr>
                <w:rFonts w:cs="Arial"/>
                <w:b/>
                <w:sz w:val="20"/>
              </w:rPr>
              <w:t>.../........</w:t>
            </w:r>
          </w:p>
          <w:p w:rsidR="00FF6F6F" w:rsidRPr="001C1595" w:rsidRDefault="00FF6F6F" w:rsidP="00FF6F6F">
            <w:pPr>
              <w:tabs>
                <w:tab w:val="left" w:pos="885"/>
                <w:tab w:val="left" w:pos="4570"/>
                <w:tab w:val="left" w:pos="9009"/>
              </w:tabs>
              <w:rPr>
                <w:rFonts w:cs="Arial"/>
                <w:b/>
                <w:sz w:val="20"/>
              </w:rPr>
            </w:pPr>
            <w:r w:rsidRPr="001C1595">
              <w:rPr>
                <w:rFonts w:cs="Arial"/>
                <w:b/>
                <w:sz w:val="20"/>
              </w:rPr>
              <w:tab/>
              <w:t xml:space="preserve">nom </w:t>
            </w:r>
            <w:r w:rsidR="005F230B" w:rsidRPr="001C1595">
              <w:rPr>
                <w:rFonts w:cs="Arial"/>
                <w:b/>
                <w:sz w:val="20"/>
              </w:rPr>
              <w:t xml:space="preserve">                                        </w:t>
            </w:r>
            <w:r w:rsidRPr="001C1595">
              <w:rPr>
                <w:rFonts w:cs="Arial"/>
                <w:b/>
                <w:sz w:val="20"/>
              </w:rPr>
              <w:t xml:space="preserve">signature </w:t>
            </w:r>
            <w:r w:rsidR="005F230B" w:rsidRPr="001C1595">
              <w:rPr>
                <w:rFonts w:cs="Arial"/>
                <w:b/>
                <w:sz w:val="20"/>
              </w:rPr>
              <w:t xml:space="preserve">                                                                </w:t>
            </w:r>
            <w:r w:rsidRPr="001C1595">
              <w:rPr>
                <w:rFonts w:cs="Arial"/>
                <w:b/>
                <w:sz w:val="20"/>
              </w:rPr>
              <w:t>date</w:t>
            </w:r>
            <w:r w:rsidRPr="001C1595">
              <w:rPr>
                <w:rFonts w:cs="Arial"/>
                <w:sz w:val="20"/>
              </w:rPr>
              <w:t xml:space="preserve"> </w:t>
            </w:r>
            <w:r w:rsidR="005F230B" w:rsidRPr="001C1595">
              <w:rPr>
                <w:rFonts w:cs="Arial"/>
                <w:sz w:val="20"/>
              </w:rPr>
              <w:t xml:space="preserve">  </w:t>
            </w:r>
            <w:r w:rsidRPr="001C1595">
              <w:rPr>
                <w:rFonts w:cs="Arial"/>
                <w:sz w:val="20"/>
              </w:rPr>
              <w:t>(AAAA/MM/JJ)</w:t>
            </w:r>
          </w:p>
          <w:p w:rsidR="00FF6F6F" w:rsidRPr="001C1595" w:rsidRDefault="00FF6F6F" w:rsidP="00FF6F6F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rFonts w:cs="Arial"/>
                <w:sz w:val="20"/>
              </w:rPr>
            </w:pPr>
            <w:r w:rsidRPr="001C1595">
              <w:rPr>
                <w:rFonts w:cs="Arial"/>
                <w:sz w:val="20"/>
              </w:rPr>
              <w:tab/>
            </w:r>
          </w:p>
        </w:tc>
      </w:tr>
      <w:tr w:rsidR="00FF6F6F" w:rsidRPr="001C1595" w:rsidTr="001C1595">
        <w:trPr>
          <w:trHeight w:hRule="exact" w:val="949"/>
        </w:trPr>
        <w:tc>
          <w:tcPr>
            <w:tcW w:w="11430" w:type="dxa"/>
            <w:gridSpan w:val="2"/>
            <w:tcBorders>
              <w:bottom w:val="single" w:sz="4" w:space="0" w:color="auto"/>
            </w:tcBorders>
          </w:tcPr>
          <w:p w:rsidR="00FF6F6F" w:rsidRPr="00FF6F6F" w:rsidRDefault="00FF6F6F" w:rsidP="00FF6F6F">
            <w:pPr>
              <w:tabs>
                <w:tab w:val="left" w:pos="360"/>
              </w:tabs>
              <w:spacing w:before="60"/>
              <w:rPr>
                <w:rFonts w:cs="Arial"/>
                <w:i/>
                <w:sz w:val="20"/>
              </w:rPr>
            </w:pPr>
            <w:r w:rsidRPr="001C1595">
              <w:rPr>
                <w:rFonts w:cs="Arial"/>
                <w:sz w:val="20"/>
              </w:rPr>
              <w:t>9.</w:t>
            </w:r>
            <w:r w:rsidRPr="001C1595">
              <w:rPr>
                <w:rFonts w:cs="Arial"/>
                <w:sz w:val="20"/>
              </w:rPr>
              <w:tab/>
            </w:r>
            <w:r w:rsidRPr="001C1595">
              <w:rPr>
                <w:rFonts w:cs="Arial"/>
                <w:b/>
                <w:sz w:val="20"/>
              </w:rPr>
              <w:t>L</w:t>
            </w:r>
            <w:r w:rsidRPr="001C1595">
              <w:rPr>
                <w:rFonts w:cs="Arial"/>
                <w:b/>
                <w:sz w:val="20"/>
                <w:cs/>
              </w:rPr>
              <w:t>’</w:t>
            </w:r>
            <w:r w:rsidRPr="001C1595">
              <w:rPr>
                <w:rFonts w:cs="Arial"/>
                <w:b/>
                <w:sz w:val="20"/>
              </w:rPr>
              <w:t>INSTRUMENT EST PRÉSENTÉ POUR ENREGISTREMENT PAR</w:t>
            </w:r>
            <w:r w:rsidRPr="001C1595">
              <w:rPr>
                <w:rFonts w:cs="Arial"/>
                <w:sz w:val="20"/>
              </w:rPr>
              <w:t xml:space="preserve"> </w:t>
            </w:r>
            <w:r w:rsidRPr="001C1595">
              <w:rPr>
                <w:rFonts w:cs="Arial"/>
                <w:i/>
                <w:sz w:val="20"/>
              </w:rPr>
              <w:t>(indiquer l</w:t>
            </w:r>
            <w:r w:rsidRPr="001C1595">
              <w:rPr>
                <w:rFonts w:cs="Arial"/>
                <w:i/>
                <w:sz w:val="20"/>
                <w:cs/>
              </w:rPr>
              <w:t>’</w:t>
            </w:r>
            <w:r w:rsidRPr="001C1595">
              <w:rPr>
                <w:rFonts w:cs="Arial"/>
                <w:i/>
                <w:sz w:val="20"/>
              </w:rPr>
              <w:t>adresse, le code postal, le nom de la personne-ressource, le numéro de téléphone et le numéro de référence du créancier hypothécaire</w:t>
            </w:r>
          </w:p>
          <w:p w:rsidR="00FF6F6F" w:rsidRPr="001C1595" w:rsidRDefault="00FF6F6F" w:rsidP="00FF6F6F">
            <w:pPr>
              <w:tabs>
                <w:tab w:val="left" w:pos="360"/>
              </w:tabs>
              <w:spacing w:before="60"/>
              <w:rPr>
                <w:rFonts w:cs="Arial"/>
                <w:sz w:val="20"/>
              </w:rPr>
            </w:pPr>
          </w:p>
        </w:tc>
      </w:tr>
    </w:tbl>
    <w:p w:rsidR="00FF6F6F" w:rsidRPr="001C1595" w:rsidRDefault="00FF6F6F" w:rsidP="00FF6F6F">
      <w:pPr>
        <w:pStyle w:val="Heading3"/>
        <w:jc w:val="left"/>
        <w:rPr>
          <w:rFonts w:cs="Arial"/>
          <w:sz w:val="20"/>
        </w:rPr>
      </w:pPr>
    </w:p>
    <w:p w:rsidR="00FF6F6F" w:rsidRPr="001C1595" w:rsidRDefault="00FF6F6F" w:rsidP="00FF6F6F">
      <w:pPr>
        <w:pStyle w:val="Heading3"/>
        <w:ind w:left="2880" w:firstLine="720"/>
        <w:jc w:val="left"/>
        <w:rPr>
          <w:rFonts w:cs="Arial"/>
          <w:sz w:val="20"/>
        </w:rPr>
      </w:pPr>
    </w:p>
    <w:p w:rsidR="00FF6F6F" w:rsidRPr="001C1595" w:rsidRDefault="00FF6F6F" w:rsidP="00FF6F6F">
      <w:pPr>
        <w:pStyle w:val="BodyText"/>
        <w:tabs>
          <w:tab w:val="left" w:pos="1350"/>
        </w:tabs>
        <w:jc w:val="center"/>
        <w:rPr>
          <w:rStyle w:val="MessageHeaderLabel"/>
          <w:rFonts w:cs="Arial"/>
          <w:caps/>
          <w:sz w:val="20"/>
        </w:rPr>
      </w:pPr>
      <w:r w:rsidRPr="001C1595">
        <w:rPr>
          <w:rStyle w:val="MessageHeaderLabel"/>
          <w:rFonts w:cs="Arial"/>
          <w:caps/>
          <w:sz w:val="20"/>
        </w:rPr>
        <w:t xml:space="preserve">FRAUDES LIÉES À UNE PROCÉDURE DE VENTE ET DE FORCLUSION </w:t>
      </w: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Perdre une maison ou un bien immobilier dans le cadre d</w:t>
      </w:r>
      <w:r w:rsidRPr="001C1595">
        <w:rPr>
          <w:rStyle w:val="MessageHeaderLabel"/>
          <w:rFonts w:cs="Arial"/>
          <w:b w:val="0"/>
          <w:sz w:val="20"/>
          <w:cs/>
        </w:rPr>
        <w:t>’</w:t>
      </w:r>
      <w:r w:rsidRPr="001C1595">
        <w:rPr>
          <w:rStyle w:val="MessageHeaderLabel"/>
          <w:rFonts w:cs="Arial"/>
          <w:b w:val="0"/>
          <w:sz w:val="20"/>
        </w:rPr>
        <w:t>une vente ou d</w:t>
      </w:r>
      <w:r w:rsidRPr="001C1595">
        <w:rPr>
          <w:rStyle w:val="MessageHeaderLabel"/>
          <w:rFonts w:cs="Arial"/>
          <w:b w:val="0"/>
          <w:sz w:val="20"/>
          <w:cs/>
        </w:rPr>
        <w:t>’</w:t>
      </w:r>
      <w:r w:rsidRPr="001C1595">
        <w:rPr>
          <w:rStyle w:val="MessageHeaderLabel"/>
          <w:rFonts w:cs="Arial"/>
          <w:b w:val="0"/>
          <w:sz w:val="20"/>
        </w:rPr>
        <w:t>une forclusion est effrayant</w:t>
      </w:r>
      <w:r w:rsidR="000A0A7E" w:rsidRPr="001C1595">
        <w:rPr>
          <w:rStyle w:val="MessageHeaderLabel"/>
          <w:rFonts w:cs="Arial"/>
          <w:b w:val="0"/>
          <w:sz w:val="20"/>
        </w:rPr>
        <w:t xml:space="preserve">. </w:t>
      </w:r>
      <w:r w:rsidRPr="001C1595">
        <w:rPr>
          <w:rStyle w:val="MessageHeaderLabel"/>
          <w:rFonts w:cs="Arial"/>
          <w:b w:val="0"/>
          <w:sz w:val="20"/>
        </w:rPr>
        <w:t>Les propriétaires du Manitoba peuvent devenir les victimes d'escrocs qui leur offrent de sauver leur propriété</w:t>
      </w:r>
      <w:r w:rsidR="005F230B" w:rsidRPr="001C1595">
        <w:rPr>
          <w:rStyle w:val="MessageHeaderLabel"/>
          <w:rFonts w:cs="Arial"/>
          <w:b w:val="0"/>
          <w:sz w:val="20"/>
        </w:rPr>
        <w:t>,</w:t>
      </w:r>
      <w:r w:rsidRPr="001C1595">
        <w:rPr>
          <w:rStyle w:val="MessageHeaderLabel"/>
          <w:rFonts w:cs="Arial"/>
          <w:b w:val="0"/>
          <w:sz w:val="20"/>
        </w:rPr>
        <w:t xml:space="preserve"> mais qui, en fin de compte, ne font qu'aggraver la situation.</w:t>
      </w: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Leur offre peut sembler bonne, mais il s'agit probablement d'une escroquerie. </w:t>
      </w: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L'escroc peut vous presser de signer un document qui a pour effet de transférer la propriété à son nom, contre un paiement minime, voire rien du tout. </w:t>
      </w:r>
    </w:p>
    <w:p w:rsidR="00FF6F6F" w:rsidRPr="001C1595" w:rsidRDefault="00FF6F6F" w:rsidP="00FF6F6F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L'escroc peut vous promettre de vous rendre votre propriété si vous remplissez certaines conditions comme faire des paiements dans des délais très précis.  </w:t>
      </w:r>
    </w:p>
    <w:p w:rsidR="00FF6F6F" w:rsidRPr="001C1595" w:rsidRDefault="00FF6F6F" w:rsidP="00FF6F6F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L'escroc peut prétendre qu'il ne s'agit que d'une autre forme de garantie du prêt.</w:t>
      </w: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Si quelqu</w:t>
      </w:r>
      <w:r w:rsidRPr="001C1595">
        <w:rPr>
          <w:rStyle w:val="MessageHeaderLabel"/>
          <w:rFonts w:cs="Arial"/>
          <w:b w:val="0"/>
          <w:sz w:val="20"/>
          <w:cs/>
        </w:rPr>
        <w:t>’</w:t>
      </w:r>
      <w:r w:rsidRPr="001C1595">
        <w:rPr>
          <w:rStyle w:val="MessageHeaderLabel"/>
          <w:rFonts w:cs="Arial"/>
          <w:b w:val="0"/>
          <w:sz w:val="20"/>
        </w:rPr>
        <w:t>un vous propose de vous « aider à sauver votre propriété » :</w:t>
      </w:r>
    </w:p>
    <w:p w:rsidR="00FF6F6F" w:rsidRPr="001C1595" w:rsidRDefault="00FF6F6F" w:rsidP="00FF6F6F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communiquez avec votre bailleur de fonds. Celui-ci pourrait être en mesure de trouver une solution dans les limites de votre budget; </w:t>
      </w:r>
    </w:p>
    <w:p w:rsidR="00FF6F6F" w:rsidRPr="001C1595" w:rsidRDefault="00FF6F6F" w:rsidP="00FF6F6F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demandez conseil à un avocat ou à un comptable en qui vous avez confiance;</w:t>
      </w:r>
    </w:p>
    <w:p w:rsidR="00FF6F6F" w:rsidRPr="001C1595" w:rsidRDefault="00FF6F6F" w:rsidP="00FF6F6F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ne signez rien avant d</w:t>
      </w:r>
      <w:r w:rsidRPr="001C1595">
        <w:rPr>
          <w:rStyle w:val="MessageHeaderLabel"/>
          <w:rFonts w:cs="Arial"/>
          <w:b w:val="0"/>
          <w:sz w:val="20"/>
          <w:cs/>
        </w:rPr>
        <w:t>’</w:t>
      </w:r>
      <w:r w:rsidRPr="001C1595">
        <w:rPr>
          <w:rStyle w:val="MessageHeaderLabel"/>
          <w:rFonts w:cs="Arial"/>
          <w:b w:val="0"/>
          <w:sz w:val="20"/>
        </w:rPr>
        <w:t>avoir consulté un conseiller en qui vous avez confiance;</w:t>
      </w:r>
    </w:p>
    <w:p w:rsidR="00FF6F6F" w:rsidRPr="001C1595" w:rsidRDefault="00FF6F6F" w:rsidP="00FF6F6F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ne croyez aucune offre où l</w:t>
      </w:r>
      <w:r w:rsidRPr="001C1595">
        <w:rPr>
          <w:rStyle w:val="MessageHeaderLabel"/>
          <w:rFonts w:cs="Arial"/>
          <w:b w:val="0"/>
          <w:sz w:val="20"/>
          <w:cs/>
        </w:rPr>
        <w:t>’</w:t>
      </w:r>
      <w:r w:rsidRPr="001C1595">
        <w:rPr>
          <w:rStyle w:val="MessageHeaderLabel"/>
          <w:rFonts w:cs="Arial"/>
          <w:b w:val="0"/>
          <w:sz w:val="20"/>
        </w:rPr>
        <w:t>on vous propose une cession-bail de façon à ce que vous puissiez racheter votre propriété à plus ou moins long terme</w:t>
      </w:r>
      <w:r w:rsidR="002272FD" w:rsidRPr="001C1595">
        <w:rPr>
          <w:rStyle w:val="MessageHeaderLabel"/>
          <w:rFonts w:cs="Arial"/>
          <w:b w:val="0"/>
          <w:sz w:val="20"/>
        </w:rPr>
        <w:t xml:space="preserve">. </w:t>
      </w:r>
      <w:r w:rsidRPr="001C1595">
        <w:rPr>
          <w:rStyle w:val="MessageHeaderLabel"/>
          <w:rFonts w:cs="Arial"/>
          <w:b w:val="0"/>
          <w:sz w:val="20"/>
        </w:rPr>
        <w:t>L'offre peut sembler bonne, mais les conditions font souvent en sorte qu'il est impossible de racheter la propriété;</w:t>
      </w:r>
    </w:p>
    <w:p w:rsidR="00FF6F6F" w:rsidRPr="001C1595" w:rsidRDefault="00FF6F6F" w:rsidP="00FF6F6F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ne signez aucun papier en blanc ou avec des espaces libres. Des renseignements pourraient y être ajoutés sans que vous le sachiez. Demandez des copies de tous les documents que vous signez.</w:t>
      </w:r>
    </w:p>
    <w:p w:rsidR="00FF6F6F" w:rsidRPr="001C1595" w:rsidRDefault="00FF6F6F" w:rsidP="00FF6F6F">
      <w:pPr>
        <w:pStyle w:val="BodyText"/>
        <w:tabs>
          <w:tab w:val="left" w:pos="1350"/>
        </w:tabs>
        <w:ind w:left="1350" w:hanging="1350"/>
        <w:jc w:val="center"/>
        <w:rPr>
          <w:rFonts w:cs="Arial"/>
          <w:sz w:val="20"/>
        </w:rPr>
      </w:pPr>
      <w:r w:rsidRPr="001C1595">
        <w:rPr>
          <w:rStyle w:val="MessageHeaderLabel"/>
          <w:rFonts w:cs="Arial"/>
          <w:sz w:val="20"/>
        </w:rPr>
        <w:t>Si vous croyez avoir été victime d'une fraude, communiquez avec la police.</w:t>
      </w:r>
    </w:p>
    <w:p w:rsidR="00FF6F6F" w:rsidRPr="001C1595" w:rsidRDefault="00FF6F6F" w:rsidP="00FF6F6F">
      <w:pPr>
        <w:pStyle w:val="Heading3"/>
        <w:ind w:left="2880" w:firstLine="720"/>
        <w:jc w:val="left"/>
        <w:rPr>
          <w:rFonts w:cs="Arial"/>
          <w:sz w:val="20"/>
        </w:rPr>
      </w:pPr>
    </w:p>
    <w:p w:rsidR="00FF6F6F" w:rsidRPr="001C1595" w:rsidRDefault="00FF6F6F" w:rsidP="00FF6F6F">
      <w:pPr>
        <w:pStyle w:val="BodyText"/>
        <w:tabs>
          <w:tab w:val="left" w:pos="1350"/>
        </w:tabs>
        <w:jc w:val="center"/>
        <w:rPr>
          <w:rFonts w:cs="Arial"/>
          <w:color w:val="1F497D"/>
          <w:sz w:val="20"/>
        </w:rPr>
      </w:pPr>
      <w:r w:rsidRPr="001C1595">
        <w:rPr>
          <w:rFonts w:cs="Arial"/>
          <w:color w:val="1F497D"/>
          <w:sz w:val="20"/>
        </w:rPr>
        <w:t xml:space="preserve">                </w:t>
      </w:r>
    </w:p>
    <w:p w:rsidR="00FF6F6F" w:rsidRPr="001C1595" w:rsidRDefault="00FF6F6F" w:rsidP="00FF6F6F">
      <w:pPr>
        <w:pStyle w:val="BodyText"/>
        <w:tabs>
          <w:tab w:val="left" w:pos="1350"/>
        </w:tabs>
        <w:jc w:val="center"/>
        <w:rPr>
          <w:rStyle w:val="MessageHeaderLabel"/>
          <w:rFonts w:cs="Arial"/>
          <w:b w:val="0"/>
          <w:caps/>
          <w:sz w:val="20"/>
        </w:rPr>
      </w:pPr>
      <w:r w:rsidRPr="001C1595">
        <w:rPr>
          <w:rStyle w:val="MessageHeaderLabel"/>
          <w:rFonts w:cs="Arial"/>
          <w:b w:val="0"/>
          <w:caps/>
          <w:sz w:val="20"/>
        </w:rPr>
        <w:t>DROIT DE TAXATION DES FRAIS DU CRÉANCIER HYPOTHÉCAIRE</w:t>
      </w:r>
    </w:p>
    <w:p w:rsidR="00FF6F6F" w:rsidRPr="001C1595" w:rsidRDefault="00FF6F6F" w:rsidP="00FF6F6F">
      <w:pPr>
        <w:pStyle w:val="BodyText"/>
        <w:tabs>
          <w:tab w:val="left" w:pos="1350"/>
        </w:tabs>
        <w:jc w:val="center"/>
        <w:rPr>
          <w:rFonts w:cs="Arial"/>
          <w:b/>
          <w:bCs/>
          <w:color w:val="1F497D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Vous devez payer les frais du créancier hypothécaire pour mettre fin à la présente procédure.</w:t>
      </w: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Ces frais doivent correspondre au tarif que le registraire général établit.</w:t>
      </w: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Vous pouvez consulter ce tarif en ligne au </w:t>
      </w:r>
      <w:r w:rsidR="00361906" w:rsidRPr="00361906">
        <w:rPr>
          <w:rStyle w:val="MessageHeaderLabel"/>
          <w:rFonts w:cs="Arial"/>
          <w:b w:val="0"/>
          <w:sz w:val="20"/>
        </w:rPr>
        <w:t>https://teranetmanitoba.ca/fr/nouvelles/directives-et-notices-du-registraire-general/</w:t>
      </w:r>
      <w:r w:rsidRPr="001C1595">
        <w:rPr>
          <w:rStyle w:val="MessageHeaderLabel"/>
          <w:rFonts w:cs="Arial"/>
          <w:b w:val="0"/>
          <w:sz w:val="20"/>
        </w:rPr>
        <w:t>.</w:t>
      </w: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Si vous pensez que les frais que l'on vous demande de payer ne correspondent pas à ce tarif, vous pouvez </w:t>
      </w:r>
      <w:r w:rsidR="005F230B" w:rsidRPr="001C1595">
        <w:rPr>
          <w:rStyle w:val="MessageHeaderLabel"/>
          <w:rFonts w:cs="Arial"/>
          <w:b w:val="0"/>
          <w:sz w:val="20"/>
        </w:rPr>
        <w:t>demander</w:t>
      </w:r>
      <w:r w:rsidRPr="001C1595">
        <w:rPr>
          <w:rStyle w:val="MessageHeaderLabel"/>
          <w:rFonts w:cs="Arial"/>
          <w:b w:val="0"/>
          <w:sz w:val="20"/>
        </w:rPr>
        <w:t xml:space="preserve"> à ce qu'ils soient examinés par le registraire de district en vertu du paragraphe 143(1) de la Loi sur les biens réels. </w:t>
      </w: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>En vertu du paragraphe 143(2) de la Loi sur les biens réels, le registraire de district doit effectuer cet examen en se fondant sur le tarif en question.</w:t>
      </w: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</w:p>
    <w:p w:rsidR="00FF6F6F" w:rsidRPr="001C1595" w:rsidRDefault="00FF6F6F" w:rsidP="00FF6F6F">
      <w:pPr>
        <w:rPr>
          <w:rStyle w:val="MessageHeaderLabel"/>
          <w:rFonts w:cs="Arial"/>
          <w:b w:val="0"/>
          <w:sz w:val="20"/>
        </w:rPr>
      </w:pPr>
      <w:r w:rsidRPr="001C1595">
        <w:rPr>
          <w:rStyle w:val="MessageHeaderLabel"/>
          <w:rFonts w:cs="Arial"/>
          <w:b w:val="0"/>
          <w:sz w:val="20"/>
        </w:rPr>
        <w:t xml:space="preserve">Pour en savoir plus sur cette procédure, prière de composer le </w:t>
      </w:r>
      <w:r w:rsidR="003B3E78">
        <w:rPr>
          <w:rStyle w:val="MessageHeaderLabel"/>
          <w:rFonts w:cs="Arial"/>
          <w:b w:val="0"/>
          <w:sz w:val="20"/>
        </w:rPr>
        <w:t>1-844-737-5684.</w:t>
      </w:r>
      <w:r w:rsidRPr="001C1595">
        <w:rPr>
          <w:rStyle w:val="MessageHeaderLabel"/>
          <w:rFonts w:cs="Arial"/>
          <w:b w:val="0"/>
          <w:sz w:val="20"/>
        </w:rPr>
        <w:t xml:space="preserve"> </w:t>
      </w:r>
    </w:p>
    <w:sectPr w:rsidR="00FF6F6F" w:rsidRPr="001C1595">
      <w:pgSz w:w="12240" w:h="20160" w:code="5"/>
      <w:pgMar w:top="360" w:right="432" w:bottom="302" w:left="43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5C9"/>
    <w:multiLevelType w:val="hybridMultilevel"/>
    <w:tmpl w:val="611494E2"/>
    <w:lvl w:ilvl="0" w:tplc="712ABA3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304"/>
    <w:multiLevelType w:val="hybridMultilevel"/>
    <w:tmpl w:val="CA0A8BE6"/>
    <w:lvl w:ilvl="0" w:tplc="2E7A8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4F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25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2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C6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65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60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0F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8B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D2DBC"/>
    <w:multiLevelType w:val="hybridMultilevel"/>
    <w:tmpl w:val="68668552"/>
    <w:lvl w:ilvl="0" w:tplc="81A28E5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2C67D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BE60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F23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2B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AA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41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2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C4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B6511"/>
    <w:multiLevelType w:val="hybridMultilevel"/>
    <w:tmpl w:val="4A562ACA"/>
    <w:lvl w:ilvl="0" w:tplc="2778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C6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24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2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88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F03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CA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26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20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ar-SA" w:vendorID="64" w:dllVersion="131078" w:nlCheck="1" w:checkStyle="0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14F"/>
    <w:rsid w:val="000362D3"/>
    <w:rsid w:val="000A0A7E"/>
    <w:rsid w:val="000D06FD"/>
    <w:rsid w:val="000F3ECC"/>
    <w:rsid w:val="001C1595"/>
    <w:rsid w:val="002272FD"/>
    <w:rsid w:val="00264483"/>
    <w:rsid w:val="0030114F"/>
    <w:rsid w:val="0032503F"/>
    <w:rsid w:val="00361906"/>
    <w:rsid w:val="003B3E78"/>
    <w:rsid w:val="003F0BBD"/>
    <w:rsid w:val="00426CB1"/>
    <w:rsid w:val="00437251"/>
    <w:rsid w:val="004B6914"/>
    <w:rsid w:val="00516297"/>
    <w:rsid w:val="00552AD6"/>
    <w:rsid w:val="005F230B"/>
    <w:rsid w:val="00671255"/>
    <w:rsid w:val="007901B3"/>
    <w:rsid w:val="00804AB7"/>
    <w:rsid w:val="0082132A"/>
    <w:rsid w:val="00B51A05"/>
    <w:rsid w:val="00BD6ABB"/>
    <w:rsid w:val="00D549B1"/>
    <w:rsid w:val="00DA485D"/>
    <w:rsid w:val="00EA70D2"/>
    <w:rsid w:val="00FA4FBA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14F"/>
    <w:rPr>
      <w:rFonts w:ascii="Arial" w:hAnsi="Arial"/>
      <w:sz w:val="24"/>
      <w:lang w:val="fr-CA" w:eastAsia="fr-CA"/>
    </w:rPr>
  </w:style>
  <w:style w:type="paragraph" w:styleId="Heading2">
    <w:name w:val="heading 2"/>
    <w:basedOn w:val="Normal"/>
    <w:next w:val="Normal"/>
    <w:qFormat/>
    <w:rsid w:val="0030114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0114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0114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30114F"/>
    <w:pPr>
      <w:keepNext/>
      <w:tabs>
        <w:tab w:val="left" w:pos="360"/>
        <w:tab w:val="left" w:pos="720"/>
        <w:tab w:val="left" w:pos="1440"/>
        <w:tab w:val="left" w:pos="5040"/>
      </w:tabs>
      <w:spacing w:before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114F"/>
    <w:rPr>
      <w:sz w:val="18"/>
    </w:rPr>
  </w:style>
  <w:style w:type="paragraph" w:styleId="BodyText2">
    <w:name w:val="Body Text 2"/>
    <w:basedOn w:val="Normal"/>
    <w:rsid w:val="0030114F"/>
    <w:pPr>
      <w:tabs>
        <w:tab w:val="left" w:pos="2520"/>
      </w:tabs>
      <w:spacing w:line="360" w:lineRule="auto"/>
    </w:pPr>
    <w:rPr>
      <w:sz w:val="20"/>
    </w:rPr>
  </w:style>
  <w:style w:type="paragraph" w:styleId="Title">
    <w:name w:val="Title"/>
    <w:basedOn w:val="Normal"/>
    <w:qFormat/>
    <w:rsid w:val="0030114F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30114F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942093"/>
    <w:rPr>
      <w:rFonts w:ascii="Arial" w:hAnsi="Arial"/>
      <w:b/>
      <w:spacing w:val="-4"/>
      <w:sz w:val="18"/>
      <w:vertAlign w:val="baseline"/>
      <w:lang w:val="fr-CA" w:eastAsia="fr-CA"/>
    </w:rPr>
  </w:style>
  <w:style w:type="character" w:styleId="Hyperlink">
    <w:name w:val="Hyperlink"/>
    <w:uiPriority w:val="99"/>
    <w:unhideWhenUsed/>
    <w:rsid w:val="00BF0415"/>
    <w:rPr>
      <w:color w:val="0000FF"/>
      <w:u w:val="single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0348-A4F7-4C08-95ED-3562D1F4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vente - formule 4</dc:title>
  <dc:creator>Teranet Manitoba</dc:creator>
  <cp:lastModifiedBy>Ashlee Espenell</cp:lastModifiedBy>
  <cp:revision>2</cp:revision>
  <cp:lastPrinted>2020-06-02T15:15:00Z</cp:lastPrinted>
  <dcterms:created xsi:type="dcterms:W3CDTF">2020-06-02T15:16:00Z</dcterms:created>
  <dcterms:modified xsi:type="dcterms:W3CDTF">2020-06-02T15:16:00Z</dcterms:modified>
</cp:coreProperties>
</file>